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F6" w:rsidRPr="008535F6" w:rsidRDefault="008535F6" w:rsidP="00853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b/>
          <w:bCs/>
          <w:color w:val="710404"/>
          <w:sz w:val="28"/>
          <w:szCs w:val="28"/>
          <w:lang w:eastAsia="ru-RU"/>
        </w:rPr>
        <w:t>Памятка</w:t>
      </w:r>
    </w:p>
    <w:p w:rsidR="008535F6" w:rsidRPr="008535F6" w:rsidRDefault="008535F6" w:rsidP="00853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b/>
          <w:bCs/>
          <w:color w:val="710404"/>
          <w:sz w:val="28"/>
          <w:szCs w:val="28"/>
          <w:lang w:eastAsia="ru-RU"/>
        </w:rPr>
        <w:t>по вопросам взяточничества и применения мер ответственности за получение и дачу взятки</w:t>
      </w:r>
    </w:p>
    <w:p w:rsidR="008535F6" w:rsidRPr="008535F6" w:rsidRDefault="008535F6" w:rsidP="008535F6">
      <w:pPr>
        <w:spacing w:after="0" w:line="240" w:lineRule="auto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b/>
          <w:bCs/>
          <w:color w:val="A21616"/>
          <w:sz w:val="28"/>
          <w:szCs w:val="28"/>
          <w:lang w:eastAsia="ru-RU"/>
        </w:rPr>
        <w:t> </w:t>
      </w:r>
      <w:r w:rsidRPr="008535F6">
        <w:rPr>
          <w:rFonts w:ascii="Times New Roman" w:eastAsia="Times New Roman" w:hAnsi="Times New Roman" w:cs="Times New Roman"/>
          <w:b/>
          <w:bCs/>
          <w:color w:val="131111"/>
          <w:sz w:val="28"/>
          <w:szCs w:val="28"/>
          <w:lang w:eastAsia="ru-RU"/>
        </w:rPr>
        <w:t>Взятка</w:t>
      </w: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 xml:space="preserve"> — принимаемые должностным лицом материальные ценности (предметы </w:t>
      </w:r>
      <w:proofErr w:type="spellStart"/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или</w:t>
      </w:r>
      <w:hyperlink r:id="rId5" w:tooltip="Деньги" w:history="1">
        <w:r w:rsidRPr="008535F6">
          <w:rPr>
            <w:rFonts w:ascii="Times New Roman" w:eastAsia="Times New Roman" w:hAnsi="Times New Roman" w:cs="Times New Roman"/>
            <w:color w:val="131111"/>
            <w:sz w:val="28"/>
            <w:szCs w:val="28"/>
            <w:u w:val="single"/>
            <w:lang w:eastAsia="ru-RU"/>
          </w:rPr>
          <w:t>деньги</w:t>
        </w:r>
        <w:proofErr w:type="spellEnd"/>
      </w:hyperlink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положения.</w:t>
      </w:r>
    </w:p>
    <w:p w:rsidR="008535F6" w:rsidRPr="008535F6" w:rsidRDefault="008535F6" w:rsidP="00853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b/>
          <w:bCs/>
          <w:color w:val="131111"/>
          <w:sz w:val="28"/>
          <w:szCs w:val="28"/>
          <w:lang w:eastAsia="ru-RU"/>
        </w:rPr>
        <w:t>ВЗЯТКОЙ МОГУТ БЫТЬ: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83"/>
        <w:gridCol w:w="6472"/>
      </w:tblGrid>
      <w:tr w:rsidR="008535F6" w:rsidRPr="008535F6" w:rsidTr="008535F6">
        <w:tc>
          <w:tcPr>
            <w:tcW w:w="3375" w:type="dxa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883"/>
            </w:tblGrid>
            <w:tr w:rsidR="008535F6" w:rsidRPr="008535F6">
              <w:trPr>
                <w:trHeight w:val="360"/>
              </w:trPr>
              <w:tc>
                <w:tcPr>
                  <w:tcW w:w="3105" w:type="dxa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83"/>
                  </w:tblGrid>
                  <w:tr w:rsidR="008535F6" w:rsidRPr="008535F6">
                    <w:tc>
                      <w:tcPr>
                        <w:tcW w:w="0" w:type="auto"/>
                        <w:vAlign w:val="center"/>
                        <w:hideMark/>
                      </w:tcPr>
                      <w:p w:rsidR="008535F6" w:rsidRPr="008535F6" w:rsidRDefault="008535F6" w:rsidP="008535F6">
                        <w:pPr>
                          <w:spacing w:after="0" w:line="240" w:lineRule="auto"/>
                          <w:divId w:val="15008426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8535F6">
                          <w:rPr>
                            <w:rFonts w:ascii="Times New Roman" w:eastAsia="Times New Roman" w:hAnsi="Times New Roman" w:cs="Times New Roman"/>
                            <w:noProof/>
                            <w:color w:val="131111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552575" cy="1466850"/>
                              <wp:effectExtent l="19050" t="0" r="9525" b="0"/>
                              <wp:docPr id="1" name="mce-77293" descr="http://detskijsad6.ru/attachments/Image/img_4KRtCB.jpg?template=generic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ce-77293" descr="http://detskijsad6.ru/attachments/Image/img_4KRtCB.jpg?template=generic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52575" cy="1466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35F6" w:rsidRPr="008535F6" w:rsidRDefault="008535F6" w:rsidP="00853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535F6">
                    <w:rPr>
                      <w:rFonts w:ascii="Times New Roman" w:eastAsia="Times New Roman" w:hAnsi="Times New Roman" w:cs="Times New Roman"/>
                      <w:color w:val="131111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</w:tr>
          </w:tbl>
          <w:p w:rsidR="008535F6" w:rsidRPr="008535F6" w:rsidRDefault="008535F6" w:rsidP="0085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21616"/>
                <w:sz w:val="28"/>
                <w:szCs w:val="28"/>
                <w:lang w:eastAsia="ru-RU"/>
              </w:rPr>
            </w:pPr>
            <w:r w:rsidRPr="008535F6">
              <w:rPr>
                <w:rFonts w:ascii="Times New Roman" w:eastAsia="Times New Roman" w:hAnsi="Times New Roman" w:cs="Times New Roman"/>
                <w:color w:val="13111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70" w:type="dxa"/>
            <w:hideMark/>
          </w:tcPr>
          <w:p w:rsidR="008535F6" w:rsidRPr="008535F6" w:rsidRDefault="008535F6" w:rsidP="0085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21616"/>
                <w:sz w:val="28"/>
                <w:szCs w:val="28"/>
                <w:lang w:eastAsia="ru-RU"/>
              </w:rPr>
            </w:pPr>
            <w:proofErr w:type="gramStart"/>
            <w:r w:rsidRPr="008535F6">
              <w:rPr>
                <w:rFonts w:ascii="Times New Roman" w:eastAsia="Times New Roman" w:hAnsi="Times New Roman" w:cs="Times New Roman"/>
                <w:b/>
                <w:bCs/>
                <w:color w:val="131111"/>
                <w:sz w:val="28"/>
                <w:szCs w:val="28"/>
                <w:u w:val="single"/>
                <w:lang w:eastAsia="ru-RU"/>
              </w:rPr>
              <w:t>ПРЕДМЕТЫ</w:t>
            </w:r>
            <w:r w:rsidRPr="008535F6">
              <w:rPr>
                <w:rFonts w:ascii="Times New Roman" w:eastAsia="Times New Roman" w:hAnsi="Times New Roman" w:cs="Times New Roman"/>
                <w:color w:val="131111"/>
                <w:sz w:val="28"/>
                <w:szCs w:val="28"/>
                <w:lang w:eastAsia="ru-RU"/>
              </w:rPr>
              <w:t> 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      </w:r>
            <w:proofErr w:type="gramEnd"/>
          </w:p>
          <w:p w:rsidR="008535F6" w:rsidRPr="008535F6" w:rsidRDefault="008535F6" w:rsidP="00853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21616"/>
                <w:sz w:val="28"/>
                <w:szCs w:val="28"/>
                <w:lang w:eastAsia="ru-RU"/>
              </w:rPr>
            </w:pPr>
            <w:r w:rsidRPr="008535F6">
              <w:rPr>
                <w:rFonts w:ascii="Times New Roman" w:eastAsia="Times New Roman" w:hAnsi="Times New Roman" w:cs="Times New Roman"/>
                <w:b/>
                <w:bCs/>
                <w:color w:val="131111"/>
                <w:sz w:val="28"/>
                <w:szCs w:val="28"/>
                <w:u w:val="single"/>
                <w:lang w:eastAsia="ru-RU"/>
              </w:rPr>
              <w:t>УСЛУГИ И ВЫГОДЫ</w:t>
            </w:r>
            <w:r w:rsidRPr="008535F6">
              <w:rPr>
                <w:rFonts w:ascii="Times New Roman" w:eastAsia="Times New Roman" w:hAnsi="Times New Roman" w:cs="Times New Roman"/>
                <w:color w:val="131111"/>
                <w:sz w:val="28"/>
                <w:szCs w:val="28"/>
                <w:lang w:eastAsia="ru-RU"/>
              </w:rPr>
              <w:t> 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      </w:r>
          </w:p>
          <w:p w:rsidR="008535F6" w:rsidRPr="008535F6" w:rsidRDefault="008535F6" w:rsidP="00853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21616"/>
                <w:sz w:val="28"/>
                <w:szCs w:val="28"/>
                <w:lang w:eastAsia="ru-RU"/>
              </w:rPr>
            </w:pPr>
            <w:r w:rsidRPr="008535F6">
              <w:rPr>
                <w:rFonts w:ascii="Times New Roman" w:eastAsia="Times New Roman" w:hAnsi="Times New Roman" w:cs="Times New Roman"/>
                <w:b/>
                <w:bCs/>
                <w:color w:val="131111"/>
                <w:sz w:val="28"/>
                <w:szCs w:val="28"/>
                <w:lang w:eastAsia="ru-RU"/>
              </w:rPr>
              <w:t> </w:t>
            </w:r>
          </w:p>
        </w:tc>
      </w:tr>
    </w:tbl>
    <w:p w:rsidR="008535F6" w:rsidRPr="008535F6" w:rsidRDefault="008535F6" w:rsidP="00853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b/>
          <w:bCs/>
          <w:color w:val="131111"/>
          <w:sz w:val="28"/>
          <w:szCs w:val="28"/>
          <w:u w:val="single"/>
          <w:lang w:eastAsia="ru-RU"/>
        </w:rPr>
        <w:t>ЗАВУАЛИРОВАННАЯ ФОРМА ВЗЯТКИ</w:t>
      </w: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 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</w:t>
      </w:r>
    </w:p>
    <w:p w:rsidR="008535F6" w:rsidRPr="008535F6" w:rsidRDefault="008535F6" w:rsidP="00853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 </w:t>
      </w:r>
    </w:p>
    <w:p w:rsidR="008535F6" w:rsidRPr="008535F6" w:rsidRDefault="008535F6" w:rsidP="00853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b/>
          <w:bCs/>
          <w:color w:val="131111"/>
          <w:sz w:val="28"/>
          <w:szCs w:val="28"/>
          <w:lang w:eastAsia="ru-RU"/>
        </w:rPr>
        <w:t>ПОКУШЕНИЕ НА ПОЛУЧЕНИЕ ВЗЯТКИ</w:t>
      </w:r>
    </w:p>
    <w:p w:rsidR="008535F6" w:rsidRPr="008535F6" w:rsidRDefault="008535F6" w:rsidP="00853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 xml:space="preserve">Если обусловленная передача ценностей не состоялась по обстоятельствам, не зависящим от воли лиц, действия которых были непосредственно направлены на их передачу или получение, содеянное следует квалифицировать как покушение на </w:t>
      </w:r>
      <w:proofErr w:type="gramStart"/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дачу</w:t>
      </w:r>
      <w:proofErr w:type="gramEnd"/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 xml:space="preserve"> либо получение взятки, на посредничество во взяточничестве или коммерческий подкуп (</w:t>
      </w:r>
      <w:hyperlink r:id="rId7" w:history="1">
        <w:r w:rsidRPr="008535F6">
          <w:rPr>
            <w:rFonts w:ascii="Times New Roman" w:eastAsia="Times New Roman" w:hAnsi="Times New Roman" w:cs="Times New Roman"/>
            <w:color w:val="131111"/>
            <w:sz w:val="28"/>
            <w:szCs w:val="28"/>
            <w:u w:val="single"/>
            <w:lang w:eastAsia="ru-RU"/>
          </w:rPr>
          <w:t>Постановление Пленума Верховного Суда РФ от 09.07.2013 № 24)</w:t>
        </w:r>
      </w:hyperlink>
    </w:p>
    <w:p w:rsidR="008535F6" w:rsidRPr="008535F6" w:rsidRDefault="008535F6" w:rsidP="008535F6">
      <w:pPr>
        <w:spacing w:after="0" w:line="240" w:lineRule="auto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        </w:t>
      </w:r>
    </w:p>
    <w:p w:rsidR="008535F6" w:rsidRPr="008535F6" w:rsidRDefault="008535F6" w:rsidP="00853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УЧАСТИЕ РОДСТВЕННИКОВ В ПОЛУЧЕНИИ ВЗЯТКИ</w:t>
      </w:r>
    </w:p>
    <w:p w:rsidR="008535F6" w:rsidRPr="008535F6" w:rsidRDefault="008535F6" w:rsidP="00853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proofErr w:type="gramStart"/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Действия должностного лица также квалифицируются как получение взятки, если имущественные выгоды в виде денег, иных ценностей, оказания материальных услуг предоставлены родным и близким должностного лица с его согласия, и при этом он использовал свои служебные полномочия в пользу взяткодателя</w:t>
      </w:r>
      <w:proofErr w:type="gramEnd"/>
    </w:p>
    <w:p w:rsidR="008535F6" w:rsidRPr="008535F6" w:rsidRDefault="008535F6" w:rsidP="00853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ТЕМЫ, ОБСУЖДЕНИЕ КОТОРЫХ С ПРЕДСТАВИТЕЛЯМИ ОРГАНИЗАЦИЙ И ГРАЖДАНАМИ, ЧЬЯ ВЫГОДА ЗАВИСИТ ОТ РЕШЕНИЙ И ДЕЙСТВИЙ СЛУЖАЩИХ И РАБОТНИКОВ, МОЖЕТ ВОСПРИНИМАТЬСЯ КАК ПРОСЬБА О ДАЧЕ ВЗЯТКИ</w:t>
      </w:r>
    </w:p>
    <w:p w:rsidR="008535F6" w:rsidRPr="008535F6" w:rsidRDefault="008535F6" w:rsidP="008535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lastRenderedPageBreak/>
        <w:t> низкий уровень заработной платы служащего и нехватка денежных средств на реализацию тех или иных нужд;</w:t>
      </w:r>
    </w:p>
    <w:p w:rsidR="008535F6" w:rsidRPr="008535F6" w:rsidRDefault="008535F6" w:rsidP="008535F6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8535F6" w:rsidRPr="008535F6" w:rsidRDefault="008535F6" w:rsidP="008535F6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отсутствие работы у родственников служащего, работника;</w:t>
      </w:r>
    </w:p>
    <w:p w:rsidR="008535F6" w:rsidRPr="008535F6" w:rsidRDefault="008535F6" w:rsidP="008535F6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необходимость поступления детей служащего (работника) в образовательное учреждение и т.д.</w:t>
      </w:r>
    </w:p>
    <w:p w:rsidR="008535F6" w:rsidRPr="008535F6" w:rsidRDefault="008535F6" w:rsidP="00853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СЛОВА И ВЫРАЖЕНИЯ СЛУЖАЩЕГО (РАБОТНИКА), КОТОРЫЕ МОГУТ БЫТЬ ВОСПРИНЯТЫ КАК ПРОСЬБА (НАМЕК) О ДАЧЕ ВЗЯТКИ</w:t>
      </w:r>
    </w:p>
    <w:tbl>
      <w:tblPr>
        <w:tblW w:w="0" w:type="auto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3976"/>
        <w:gridCol w:w="5385"/>
      </w:tblGrid>
      <w:tr w:rsidR="008535F6" w:rsidRPr="008535F6" w:rsidTr="008535F6">
        <w:trPr>
          <w:jc w:val="center"/>
        </w:trPr>
        <w:tc>
          <w:tcPr>
            <w:tcW w:w="4080" w:type="dxa"/>
            <w:hideMark/>
          </w:tcPr>
          <w:p w:rsidR="008535F6" w:rsidRPr="008535F6" w:rsidRDefault="008535F6" w:rsidP="008535F6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A21616"/>
                <w:sz w:val="28"/>
                <w:szCs w:val="28"/>
                <w:lang w:eastAsia="ru-RU"/>
              </w:rPr>
            </w:pPr>
            <w:r w:rsidRPr="008535F6">
              <w:rPr>
                <w:rFonts w:ascii="Times New Roman" w:eastAsia="Times New Roman" w:hAnsi="Times New Roman" w:cs="Times New Roman"/>
                <w:color w:val="A21616"/>
                <w:sz w:val="28"/>
                <w:szCs w:val="28"/>
                <w:lang w:eastAsia="ru-RU"/>
              </w:rPr>
              <w:t> «</w:t>
            </w:r>
            <w:r w:rsidRPr="008535F6">
              <w:rPr>
                <w:rFonts w:ascii="Times New Roman" w:eastAsia="Times New Roman" w:hAnsi="Times New Roman" w:cs="Times New Roman"/>
                <w:color w:val="131111"/>
                <w:sz w:val="28"/>
                <w:szCs w:val="28"/>
                <w:lang w:eastAsia="ru-RU"/>
              </w:rPr>
              <w:t>вопрос решить трудно, но можно»;</w:t>
            </w:r>
          </w:p>
          <w:p w:rsidR="008535F6" w:rsidRPr="008535F6" w:rsidRDefault="008535F6" w:rsidP="008535F6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A21616"/>
                <w:sz w:val="28"/>
                <w:szCs w:val="28"/>
                <w:lang w:eastAsia="ru-RU"/>
              </w:rPr>
            </w:pPr>
            <w:r w:rsidRPr="008535F6">
              <w:rPr>
                <w:rFonts w:ascii="Times New Roman" w:eastAsia="Times New Roman" w:hAnsi="Times New Roman" w:cs="Times New Roman"/>
                <w:color w:val="A21616"/>
                <w:sz w:val="28"/>
                <w:szCs w:val="28"/>
                <w:lang w:eastAsia="ru-RU"/>
              </w:rPr>
              <w:t>«спасибо на хлеб не намажешь»;</w:t>
            </w:r>
          </w:p>
          <w:p w:rsidR="008535F6" w:rsidRPr="008535F6" w:rsidRDefault="008535F6" w:rsidP="008535F6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A21616"/>
                <w:sz w:val="28"/>
                <w:szCs w:val="28"/>
                <w:lang w:eastAsia="ru-RU"/>
              </w:rPr>
            </w:pPr>
            <w:r w:rsidRPr="008535F6">
              <w:rPr>
                <w:rFonts w:ascii="Times New Roman" w:eastAsia="Times New Roman" w:hAnsi="Times New Roman" w:cs="Times New Roman"/>
                <w:color w:val="A21616"/>
                <w:sz w:val="28"/>
                <w:szCs w:val="28"/>
                <w:lang w:eastAsia="ru-RU"/>
              </w:rPr>
              <w:t>«договоримся»;</w:t>
            </w:r>
          </w:p>
          <w:p w:rsidR="008535F6" w:rsidRPr="008535F6" w:rsidRDefault="008535F6" w:rsidP="008535F6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A21616"/>
                <w:sz w:val="28"/>
                <w:szCs w:val="28"/>
                <w:lang w:eastAsia="ru-RU"/>
              </w:rPr>
            </w:pPr>
            <w:r w:rsidRPr="008535F6">
              <w:rPr>
                <w:rFonts w:ascii="Times New Roman" w:eastAsia="Times New Roman" w:hAnsi="Times New Roman" w:cs="Times New Roman"/>
                <w:color w:val="A21616"/>
                <w:sz w:val="28"/>
                <w:szCs w:val="28"/>
                <w:lang w:eastAsia="ru-RU"/>
              </w:rPr>
              <w:t>«нужны более веские аргументы»;</w:t>
            </w:r>
          </w:p>
          <w:p w:rsidR="008535F6" w:rsidRPr="008535F6" w:rsidRDefault="008535F6" w:rsidP="008535F6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A21616"/>
                <w:sz w:val="28"/>
                <w:szCs w:val="28"/>
                <w:lang w:eastAsia="ru-RU"/>
              </w:rPr>
            </w:pPr>
            <w:r w:rsidRPr="008535F6">
              <w:rPr>
                <w:rFonts w:ascii="Times New Roman" w:eastAsia="Times New Roman" w:hAnsi="Times New Roman" w:cs="Times New Roman"/>
                <w:color w:val="A21616"/>
                <w:sz w:val="28"/>
                <w:szCs w:val="28"/>
                <w:lang w:eastAsia="ru-RU"/>
              </w:rPr>
              <w:t>«нужно обсудить параметры»;</w:t>
            </w:r>
          </w:p>
          <w:p w:rsidR="008535F6" w:rsidRPr="008535F6" w:rsidRDefault="008535F6" w:rsidP="008535F6">
            <w:pPr>
              <w:numPr>
                <w:ilvl w:val="0"/>
                <w:numId w:val="2"/>
              </w:num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A21616"/>
                <w:sz w:val="28"/>
                <w:szCs w:val="28"/>
                <w:lang w:eastAsia="ru-RU"/>
              </w:rPr>
            </w:pPr>
            <w:r w:rsidRPr="008535F6">
              <w:rPr>
                <w:rFonts w:ascii="Times New Roman" w:eastAsia="Times New Roman" w:hAnsi="Times New Roman" w:cs="Times New Roman"/>
                <w:color w:val="A21616"/>
                <w:sz w:val="28"/>
                <w:szCs w:val="28"/>
                <w:lang w:eastAsia="ru-RU"/>
              </w:rPr>
              <w:t>«ну что делать будем?» и т.д.</w:t>
            </w:r>
          </w:p>
        </w:tc>
        <w:tc>
          <w:tcPr>
            <w:tcW w:w="5490" w:type="dxa"/>
            <w:hideMark/>
          </w:tcPr>
          <w:p w:rsidR="008535F6" w:rsidRPr="008535F6" w:rsidRDefault="008535F6" w:rsidP="0085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21616"/>
                <w:sz w:val="28"/>
                <w:szCs w:val="28"/>
                <w:lang w:eastAsia="ru-RU"/>
              </w:rPr>
            </w:pPr>
            <w:r w:rsidRPr="008535F6">
              <w:rPr>
                <w:rFonts w:ascii="Times New Roman" w:eastAsia="Times New Roman" w:hAnsi="Times New Roman" w:cs="Times New Roman"/>
                <w:color w:val="131111"/>
                <w:sz w:val="28"/>
                <w:szCs w:val="28"/>
                <w:lang w:eastAsia="ru-RU"/>
              </w:rPr>
              <w:t> </w:t>
            </w:r>
            <w:r w:rsidRPr="008535F6">
              <w:rPr>
                <w:rFonts w:ascii="Times New Roman" w:eastAsia="Times New Roman" w:hAnsi="Times New Roman" w:cs="Times New Roman"/>
                <w:noProof/>
                <w:color w:val="131111"/>
                <w:sz w:val="28"/>
                <w:szCs w:val="28"/>
                <w:lang w:eastAsia="ru-RU"/>
              </w:rPr>
              <w:drawing>
                <wp:inline distT="0" distB="0" distL="0" distR="0">
                  <wp:extent cx="2171700" cy="1809750"/>
                  <wp:effectExtent l="19050" t="0" r="0" b="0"/>
                  <wp:docPr id="2" name="mce-77371" descr="http://detskijsad6.ru/attachments/Image/8319087e-9448-4d2d-a38d-b8a42cd748bc.jpg?template=gener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e-77371" descr="http://detskijsad6.ru/attachments/Image/8319087e-9448-4d2d-a38d-b8a42cd748bc.jpg?template=gene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5F6" w:rsidRPr="008535F6" w:rsidRDefault="008535F6" w:rsidP="00853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 </w:t>
      </w:r>
    </w:p>
    <w:p w:rsidR="008535F6" w:rsidRPr="008535F6" w:rsidRDefault="008535F6" w:rsidP="00853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ДЕЙСТВИЯ, КОТОРЫЕ МОГУТ ВОСПРИНИМАТЬСЯ ОКРУЖАЮЩИМИ КАК СОГЛАСИЕ ПРИНЯТЬ ВЗЯТКУ </w:t>
      </w:r>
    </w:p>
    <w:p w:rsidR="008535F6" w:rsidRPr="008535F6" w:rsidRDefault="008535F6" w:rsidP="008535F6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переговоры о последующем трудоустройстве с организацией, которая извлекла, извлекает или может извлечь выгоду из решений или действий (бездействия) служащего (работника);</w:t>
      </w:r>
    </w:p>
    <w:p w:rsidR="008535F6" w:rsidRPr="008535F6" w:rsidRDefault="008535F6" w:rsidP="008535F6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родственники служащего (работника)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8535F6" w:rsidRPr="008535F6" w:rsidRDefault="008535F6" w:rsidP="008535F6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родственники служащего (работника)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8535F6" w:rsidRPr="008535F6" w:rsidRDefault="008535F6" w:rsidP="00853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НЕКОТОРЫЕ КОСВЕННЫЕ ПРИЗНАКИ ПРЕДЛОЖЕНИЯ ВЗЯТКИ:  </w:t>
      </w:r>
    </w:p>
    <w:p w:rsidR="008535F6" w:rsidRPr="008535F6" w:rsidRDefault="008535F6" w:rsidP="008535F6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 </w:t>
      </w:r>
      <w:r w:rsidRPr="008535F6"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  <w:br/>
      </w: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он передаст ему деньги или окажет какие-либо услуги; никакие «опасные» выражения при этом не допускаются.</w:t>
      </w:r>
    </w:p>
    <w:p w:rsidR="008535F6" w:rsidRPr="008535F6" w:rsidRDefault="008535F6" w:rsidP="008535F6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8535F6" w:rsidRPr="008535F6" w:rsidRDefault="008535F6" w:rsidP="008535F6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8535F6" w:rsidRPr="008535F6" w:rsidRDefault="008535F6" w:rsidP="008535F6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lastRenderedPageBreak/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8535F6" w:rsidRPr="008535F6" w:rsidRDefault="008535F6" w:rsidP="008535F6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8535F6" w:rsidRPr="008535F6" w:rsidRDefault="008535F6" w:rsidP="008535F6">
      <w:pPr>
        <w:spacing w:after="0" w:line="240" w:lineRule="auto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b/>
          <w:bCs/>
          <w:color w:val="131111"/>
          <w:sz w:val="28"/>
          <w:szCs w:val="28"/>
          <w:lang w:eastAsia="ru-RU"/>
        </w:rPr>
        <w:t>Признаки коммерческого подкупа аналогичны признакам взятки.</w:t>
      </w:r>
    </w:p>
    <w:p w:rsidR="008535F6" w:rsidRPr="008535F6" w:rsidRDefault="008535F6" w:rsidP="008535F6">
      <w:pPr>
        <w:spacing w:after="0" w:line="240" w:lineRule="auto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b/>
          <w:bCs/>
          <w:color w:val="131111"/>
          <w:sz w:val="28"/>
          <w:szCs w:val="28"/>
          <w:lang w:eastAsia="ru-RU"/>
        </w:rPr>
        <w:t> </w:t>
      </w:r>
    </w:p>
    <w:p w:rsidR="008535F6" w:rsidRPr="008535F6" w:rsidRDefault="008535F6" w:rsidP="008535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ВАШИ ДЕЙСТВИЯ В СЛУЧАЕ ПРЕДЛОЖЕНИЯ ИЛИ ВЫМОГАТЕЛЬСТВА ВЗЯТКИ </w:t>
      </w:r>
    </w:p>
    <w:p w:rsidR="008535F6" w:rsidRPr="008535F6" w:rsidRDefault="008535F6" w:rsidP="008535F6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взятковымогателем</w:t>
      </w:r>
      <w:proofErr w:type="spellEnd"/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) либо как готовность, либо как категорический отказ принять (дать) взятку;</w:t>
      </w:r>
    </w:p>
    <w:p w:rsidR="008535F6" w:rsidRPr="008535F6" w:rsidRDefault="008535F6" w:rsidP="008535F6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8535F6" w:rsidRPr="008535F6" w:rsidRDefault="008535F6" w:rsidP="008535F6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8535F6" w:rsidRPr="008535F6" w:rsidRDefault="008535F6" w:rsidP="008535F6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8535F6" w:rsidRPr="008535F6" w:rsidRDefault="008535F6" w:rsidP="008535F6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A21616"/>
          <w:sz w:val="28"/>
          <w:szCs w:val="28"/>
          <w:lang w:eastAsia="ru-RU"/>
        </w:rPr>
      </w:pPr>
      <w:r w:rsidRPr="008535F6">
        <w:rPr>
          <w:rFonts w:ascii="Times New Roman" w:eastAsia="Times New Roman" w:hAnsi="Times New Roman" w:cs="Times New Roman"/>
          <w:color w:val="131111"/>
          <w:sz w:val="28"/>
          <w:szCs w:val="28"/>
          <w:lang w:eastAsia="ru-RU"/>
        </w:rPr>
        <w:t>при наличии у Вас диктофона постараться записать (скрытно) предложение о взятке или ее вымогательстве.</w:t>
      </w:r>
    </w:p>
    <w:p w:rsidR="00E573F4" w:rsidRPr="008535F6" w:rsidRDefault="00E573F4" w:rsidP="00853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73F4" w:rsidRPr="008535F6" w:rsidSect="008535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1EDA"/>
    <w:multiLevelType w:val="multilevel"/>
    <w:tmpl w:val="7AA6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C217D1"/>
    <w:multiLevelType w:val="multilevel"/>
    <w:tmpl w:val="C066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BE03EA"/>
    <w:multiLevelType w:val="multilevel"/>
    <w:tmpl w:val="1F60F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AD7572"/>
    <w:multiLevelType w:val="multilevel"/>
    <w:tmpl w:val="CC2C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36872E6"/>
    <w:multiLevelType w:val="multilevel"/>
    <w:tmpl w:val="4EF6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5F6"/>
    <w:rsid w:val="001B2703"/>
    <w:rsid w:val="008535F6"/>
    <w:rsid w:val="00E5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5F6"/>
    <w:rPr>
      <w:b/>
      <w:bCs/>
    </w:rPr>
  </w:style>
  <w:style w:type="character" w:styleId="a5">
    <w:name w:val="Hyperlink"/>
    <w:basedOn w:val="a0"/>
    <w:uiPriority w:val="99"/>
    <w:semiHidden/>
    <w:unhideWhenUsed/>
    <w:rsid w:val="008535F6"/>
    <w:rPr>
      <w:color w:val="0000FF"/>
      <w:u w:val="single"/>
    </w:rPr>
  </w:style>
  <w:style w:type="paragraph" w:customStyle="1" w:styleId="menutop">
    <w:name w:val="menutop"/>
    <w:basedOn w:val="a"/>
    <w:rsid w:val="0085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5F6"/>
  </w:style>
  <w:style w:type="paragraph" w:customStyle="1" w:styleId="listparagraph">
    <w:name w:val="listparagraph"/>
    <w:basedOn w:val="a"/>
    <w:rsid w:val="0085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9F9DD42BA53DF56C55145355C34ACB5CA4F4C23DA264100EC3A8E663AF95BA8528F63F43AE4B4Ds2T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ru.wikipedia.org/wiki/%D0%94%D0%B5%D0%BD%D1%8C%D0%B3%D0%B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4834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1</cp:revision>
  <dcterms:created xsi:type="dcterms:W3CDTF">2017-04-19T13:10:00Z</dcterms:created>
  <dcterms:modified xsi:type="dcterms:W3CDTF">2017-04-19T13:12:00Z</dcterms:modified>
</cp:coreProperties>
</file>